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81" w:rsidRPr="008D6E81" w:rsidRDefault="008D6E81" w:rsidP="008D6E81">
      <w:pPr>
        <w:spacing w:after="0" w:line="240" w:lineRule="auto"/>
        <w:rPr>
          <w:rFonts w:ascii="inherit" w:eastAsia="Times New Roman" w:hAnsi="inherit" w:cs="Times New Roman"/>
          <w:sz w:val="24"/>
          <w:szCs w:val="24"/>
          <w:lang w:eastAsia="it-IT"/>
        </w:rPr>
      </w:pPr>
      <w:r>
        <w:rPr>
          <w:rFonts w:ascii="inherit" w:eastAsia="Times New Roman" w:hAnsi="inherit" w:cs="Times New Roman"/>
          <w:noProof/>
          <w:color w:val="2795B6"/>
          <w:sz w:val="24"/>
          <w:szCs w:val="24"/>
          <w:lang w:eastAsia="it-IT"/>
        </w:rPr>
        <w:drawing>
          <wp:inline distT="0" distB="0" distL="0" distR="0">
            <wp:extent cx="3808730" cy="1503045"/>
            <wp:effectExtent l="19050" t="0" r="1270" b="0"/>
            <wp:docPr id="1" name="Immagine 1" descr="pugliain.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gliain.net">
                      <a:hlinkClick r:id="rId5"/>
                    </pic:cNvPr>
                    <pic:cNvPicPr>
                      <a:picLocks noChangeAspect="1" noChangeArrowheads="1"/>
                    </pic:cNvPicPr>
                  </pic:nvPicPr>
                  <pic:blipFill>
                    <a:blip r:embed="rId6" cstate="print"/>
                    <a:srcRect/>
                    <a:stretch>
                      <a:fillRect/>
                    </a:stretch>
                  </pic:blipFill>
                  <pic:spPr bwMode="auto">
                    <a:xfrm>
                      <a:off x="0" y="0"/>
                      <a:ext cx="3808730" cy="1503045"/>
                    </a:xfrm>
                    <a:prstGeom prst="rect">
                      <a:avLst/>
                    </a:prstGeom>
                    <a:noFill/>
                    <a:ln w="9525">
                      <a:noFill/>
                      <a:miter lim="800000"/>
                      <a:headEnd/>
                      <a:tailEnd/>
                    </a:ln>
                  </pic:spPr>
                </pic:pic>
              </a:graphicData>
            </a:graphic>
          </wp:inline>
        </w:drawing>
      </w:r>
      <w:r w:rsidRPr="008D6E81">
        <w:rPr>
          <w:rFonts w:ascii="inherit" w:eastAsia="Times New Roman" w:hAnsi="inherit" w:cs="Times New Roman"/>
          <w:sz w:val="24"/>
          <w:szCs w:val="24"/>
          <w:lang w:eastAsia="it-IT"/>
        </w:rPr>
        <w:br/>
        <w:t>AGOSTO 07, 2015</w:t>
      </w:r>
    </w:p>
    <w:p w:rsidR="008D6E81" w:rsidRPr="008D6E81" w:rsidRDefault="008D6E81" w:rsidP="008D6E81">
      <w:pPr>
        <w:spacing w:line="240" w:lineRule="auto"/>
        <w:ind w:left="360"/>
        <w:rPr>
          <w:rFonts w:ascii="inherit" w:eastAsia="Times New Roman" w:hAnsi="inherit" w:cs="Arial"/>
          <w:b/>
          <w:bCs/>
          <w:caps/>
          <w:color w:val="222222"/>
          <w:sz w:val="15"/>
          <w:szCs w:val="15"/>
          <w:lang w:eastAsia="it-IT"/>
        </w:rPr>
      </w:pPr>
    </w:p>
    <w:p w:rsidR="008D6E81" w:rsidRPr="008D6E81" w:rsidRDefault="008D6E81" w:rsidP="008D6E81">
      <w:pPr>
        <w:numPr>
          <w:ilvl w:val="0"/>
          <w:numId w:val="2"/>
        </w:numPr>
        <w:spacing w:line="240" w:lineRule="auto"/>
        <w:ind w:left="0"/>
        <w:rPr>
          <w:rFonts w:ascii="inherit" w:eastAsia="Times New Roman" w:hAnsi="inherit" w:cs="Arial"/>
          <w:b/>
          <w:bCs/>
          <w:caps/>
          <w:color w:val="222222"/>
          <w:sz w:val="15"/>
          <w:szCs w:val="15"/>
          <w:lang w:eastAsia="it-IT"/>
        </w:rPr>
      </w:pPr>
      <w:r w:rsidRPr="008D6E81">
        <w:rPr>
          <w:rFonts w:ascii="inherit" w:eastAsia="Times New Roman" w:hAnsi="inherit" w:cs="Arial"/>
          <w:b/>
          <w:bCs/>
          <w:caps/>
          <w:color w:val="222222"/>
          <w:sz w:val="15"/>
          <w:lang w:eastAsia="it-IT"/>
        </w:rPr>
        <w:t> </w:t>
      </w:r>
      <w:r w:rsidRPr="008D6E81">
        <w:rPr>
          <w:rFonts w:ascii="inherit" w:eastAsia="Times New Roman" w:hAnsi="inherit" w:cs="Arial"/>
          <w:b/>
          <w:bCs/>
          <w:caps/>
          <w:color w:val="222222"/>
          <w:sz w:val="15"/>
          <w:szCs w:val="15"/>
          <w:lang w:eastAsia="it-IT"/>
        </w:rPr>
        <w:t>TEATRO PUGLIA, PERSI 100 POSTI PER MANCATA ASSEGNAZIONE CONTRIBUTI A IMPRESE PUGLIESI</w:t>
      </w:r>
    </w:p>
    <w:p w:rsidR="008D6E81" w:rsidRPr="008D6E81" w:rsidRDefault="008D6E81" w:rsidP="008D6E81">
      <w:pPr>
        <w:spacing w:after="0" w:line="163" w:lineRule="atLeast"/>
        <w:rPr>
          <w:rFonts w:ascii="inherit" w:eastAsia="Times New Roman" w:hAnsi="inherit" w:cs="Times New Roman"/>
          <w:color w:val="5B5B5B"/>
          <w:sz w:val="16"/>
          <w:szCs w:val="16"/>
          <w:lang w:eastAsia="it-IT"/>
        </w:rPr>
      </w:pPr>
      <w:hyperlink r:id="rId7" w:tooltip="Economia &amp; Sviluppo" w:history="1">
        <w:r w:rsidRPr="008D6E81">
          <w:rPr>
            <w:rFonts w:ascii="inherit" w:eastAsia="Times New Roman" w:hAnsi="inherit" w:cs="Times New Roman"/>
            <w:color w:val="FFFFFF"/>
            <w:sz w:val="16"/>
            <w:u w:val="single"/>
            <w:lang w:eastAsia="it-IT"/>
          </w:rPr>
          <w:t>ECONOMIA &amp; SVILUPPO</w:t>
        </w:r>
      </w:hyperlink>
    </w:p>
    <w:p w:rsidR="008D6E81" w:rsidRPr="008D6E81" w:rsidRDefault="008D6E81" w:rsidP="008D6E81">
      <w:pPr>
        <w:spacing w:after="0" w:line="576" w:lineRule="atLeast"/>
        <w:outlineLvl w:val="0"/>
        <w:rPr>
          <w:rFonts w:ascii="inherit" w:eastAsia="Times New Roman" w:hAnsi="inherit" w:cs="Times New Roman"/>
          <w:b/>
          <w:bCs/>
          <w:color w:val="222222"/>
          <w:kern w:val="36"/>
          <w:sz w:val="45"/>
          <w:szCs w:val="45"/>
          <w:lang w:eastAsia="it-IT"/>
        </w:rPr>
      </w:pPr>
      <w:r w:rsidRPr="008D6E81">
        <w:rPr>
          <w:rFonts w:ascii="inherit" w:eastAsia="Times New Roman" w:hAnsi="inherit" w:cs="Times New Roman"/>
          <w:b/>
          <w:bCs/>
          <w:color w:val="222222"/>
          <w:kern w:val="36"/>
          <w:sz w:val="45"/>
          <w:szCs w:val="45"/>
          <w:lang w:eastAsia="it-IT"/>
        </w:rPr>
        <w:t>Teatro Puglia, persi 100 posti per mancata assegnazione contributi a imprese pugliesi</w:t>
      </w:r>
    </w:p>
    <w:p w:rsidR="008D6E81" w:rsidRPr="008D6E81" w:rsidRDefault="008D6E81" w:rsidP="008D6E81">
      <w:pPr>
        <w:spacing w:after="63" w:line="275" w:lineRule="atLeast"/>
        <w:outlineLvl w:val="3"/>
        <w:rPr>
          <w:rFonts w:ascii="inherit" w:eastAsia="Times New Roman" w:hAnsi="inherit" w:cs="Times New Roman"/>
          <w:color w:val="222222"/>
          <w:sz w:val="20"/>
          <w:szCs w:val="20"/>
          <w:lang w:eastAsia="it-IT"/>
        </w:rPr>
      </w:pPr>
      <w:r w:rsidRPr="008D6E81">
        <w:rPr>
          <w:rFonts w:ascii="inherit" w:eastAsia="Times New Roman" w:hAnsi="inherit" w:cs="Times New Roman"/>
          <w:color w:val="222222"/>
          <w:sz w:val="20"/>
          <w:szCs w:val="20"/>
          <w:lang w:eastAsia="it-IT"/>
        </w:rPr>
        <w:t>La denuncia viene dall'</w:t>
      </w:r>
      <w:proofErr w:type="spellStart"/>
      <w:r w:rsidRPr="008D6E81">
        <w:rPr>
          <w:rFonts w:ascii="inherit" w:eastAsia="Times New Roman" w:hAnsi="inherit" w:cs="Times New Roman"/>
          <w:color w:val="222222"/>
          <w:sz w:val="20"/>
          <w:szCs w:val="20"/>
          <w:lang w:eastAsia="it-IT"/>
        </w:rPr>
        <w:t>Agis</w:t>
      </w:r>
      <w:proofErr w:type="spellEnd"/>
      <w:r w:rsidRPr="008D6E81">
        <w:rPr>
          <w:rFonts w:ascii="inherit" w:eastAsia="Times New Roman" w:hAnsi="inherit" w:cs="Times New Roman"/>
          <w:color w:val="222222"/>
          <w:sz w:val="20"/>
          <w:szCs w:val="20"/>
          <w:lang w:eastAsia="it-IT"/>
        </w:rPr>
        <w:t xml:space="preserve"> di Puglia e Basilicata che rivendica tanti sforzi e investimenti fatti negli ultimi anni bruciati dalla mancata assegnazione dei fondi del Ministero della Cultura.</w:t>
      </w:r>
    </w:p>
    <w:p w:rsidR="008D6E81" w:rsidRPr="008D6E81" w:rsidRDefault="008D6E81" w:rsidP="008D6E81">
      <w:pPr>
        <w:numPr>
          <w:ilvl w:val="0"/>
          <w:numId w:val="3"/>
        </w:numPr>
        <w:spacing w:after="313" w:line="326" w:lineRule="atLeast"/>
        <w:ind w:left="0" w:right="150"/>
        <w:rPr>
          <w:rFonts w:ascii="Arial" w:eastAsia="Times New Roman" w:hAnsi="Arial" w:cs="Arial"/>
          <w:color w:val="5B5B5B"/>
          <w:sz w:val="14"/>
          <w:szCs w:val="14"/>
          <w:lang w:eastAsia="it-IT"/>
        </w:rPr>
      </w:pPr>
      <w:r w:rsidRPr="008D6E81">
        <w:rPr>
          <w:rFonts w:ascii="Arial" w:eastAsia="Times New Roman" w:hAnsi="Arial" w:cs="Arial"/>
          <w:color w:val="5B5B5B"/>
          <w:sz w:val="14"/>
          <w:szCs w:val="14"/>
          <w:lang w:eastAsia="it-IT"/>
        </w:rPr>
        <w:t>SCRITTO DA:</w:t>
      </w:r>
      <w:r w:rsidRPr="008D6E81">
        <w:rPr>
          <w:rFonts w:ascii="Arial" w:eastAsia="Times New Roman" w:hAnsi="Arial" w:cs="Arial"/>
          <w:color w:val="5B5B5B"/>
          <w:sz w:val="14"/>
          <w:lang w:eastAsia="it-IT"/>
        </w:rPr>
        <w:t> </w:t>
      </w:r>
      <w:hyperlink r:id="rId8" w:tooltip="Articoli scritti da: Redazione" w:history="1">
        <w:r w:rsidRPr="008D6E81">
          <w:rPr>
            <w:rFonts w:ascii="Arial" w:eastAsia="Times New Roman" w:hAnsi="Arial" w:cs="Arial"/>
            <w:b/>
            <w:bCs/>
            <w:color w:val="808080"/>
            <w:sz w:val="14"/>
            <w:u w:val="single"/>
            <w:lang w:eastAsia="it-IT"/>
          </w:rPr>
          <w:t>REDAZIONE</w:t>
        </w:r>
      </w:hyperlink>
    </w:p>
    <w:p w:rsidR="008D6E81" w:rsidRPr="008D6E81" w:rsidRDefault="008D6E81" w:rsidP="008D6E81">
      <w:pPr>
        <w:spacing w:after="0" w:line="240" w:lineRule="auto"/>
        <w:rPr>
          <w:rFonts w:ascii="inherit" w:eastAsia="Times New Roman" w:hAnsi="inherit" w:cs="Times New Roman"/>
          <w:color w:val="5B5B5B"/>
          <w:sz w:val="16"/>
          <w:szCs w:val="16"/>
          <w:lang w:eastAsia="it-IT"/>
        </w:rPr>
      </w:pPr>
      <w:r w:rsidRPr="008D6E81">
        <w:rPr>
          <w:rFonts w:ascii="inherit" w:eastAsia="Times New Roman" w:hAnsi="inherit" w:cs="Times New Roman"/>
          <w:color w:val="5B5B5B"/>
          <w:sz w:val="16"/>
          <w:lang w:eastAsia="it-IT"/>
        </w:rPr>
        <w:t> </w:t>
      </w:r>
    </w:p>
    <w:p w:rsidR="008D6E81" w:rsidRPr="008D6E81" w:rsidRDefault="008D6E81" w:rsidP="008D6E81">
      <w:pPr>
        <w:spacing w:line="0" w:lineRule="auto"/>
        <w:rPr>
          <w:rFonts w:ascii="inherit" w:eastAsia="Times New Roman" w:hAnsi="inherit" w:cs="Times New Roman"/>
          <w:color w:val="5B5B5B"/>
          <w:sz w:val="18"/>
          <w:szCs w:val="18"/>
          <w:lang w:eastAsia="it-IT"/>
        </w:rPr>
      </w:pPr>
      <w:r>
        <w:rPr>
          <w:rFonts w:ascii="inherit" w:eastAsia="Times New Roman" w:hAnsi="inherit" w:cs="Times New Roman"/>
          <w:noProof/>
          <w:color w:val="5B5B5B"/>
          <w:sz w:val="18"/>
          <w:szCs w:val="18"/>
          <w:lang w:eastAsia="it-IT"/>
        </w:rPr>
        <w:drawing>
          <wp:inline distT="0" distB="0" distL="0" distR="0">
            <wp:extent cx="5716905" cy="3808730"/>
            <wp:effectExtent l="19050" t="0" r="0" b="0"/>
            <wp:docPr id="2" name="Immagine 2" descr="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tro"/>
                    <pic:cNvPicPr>
                      <a:picLocks noChangeAspect="1" noChangeArrowheads="1"/>
                    </pic:cNvPicPr>
                  </pic:nvPicPr>
                  <pic:blipFill>
                    <a:blip r:embed="rId9" cstate="print"/>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8D6E81" w:rsidRPr="008D6E81" w:rsidRDefault="008D6E81" w:rsidP="008D6E81">
      <w:pPr>
        <w:spacing w:after="0" w:line="240" w:lineRule="auto"/>
        <w:jc w:val="both"/>
        <w:rPr>
          <w:rFonts w:ascii="inherit" w:eastAsia="Times New Roman" w:hAnsi="inherit" w:cs="Times New Roman"/>
          <w:color w:val="5B5B5B"/>
          <w:sz w:val="28"/>
          <w:szCs w:val="28"/>
          <w:lang w:eastAsia="it-IT"/>
        </w:rPr>
      </w:pPr>
      <w:r w:rsidRPr="008D6E81">
        <w:rPr>
          <w:rFonts w:ascii="inherit" w:eastAsia="Times New Roman" w:hAnsi="inherit" w:cs="Times New Roman"/>
          <w:color w:val="5B5B5B"/>
          <w:sz w:val="28"/>
          <w:szCs w:val="28"/>
          <w:lang w:eastAsia="it-IT"/>
        </w:rPr>
        <w:t>Ammonta a 95mila euro, con conseguente perdita di 100 posti di lavoro il danno causato dalla mancata assegnazione di contributi ministeriali a quattro imprese teatrali pugliesi”. A denunciarlo, in un comunicato, l’</w:t>
      </w:r>
      <w:proofErr w:type="spellStart"/>
      <w:r w:rsidRPr="008D6E81">
        <w:rPr>
          <w:rFonts w:ascii="inherit" w:eastAsia="Times New Roman" w:hAnsi="inherit" w:cs="Times New Roman"/>
          <w:b/>
          <w:bCs/>
          <w:color w:val="5B5B5B"/>
          <w:sz w:val="28"/>
          <w:szCs w:val="28"/>
          <w:lang w:eastAsia="it-IT"/>
        </w:rPr>
        <w:t>Agis</w:t>
      </w:r>
      <w:proofErr w:type="spellEnd"/>
      <w:r w:rsidRPr="008D6E81">
        <w:rPr>
          <w:rFonts w:ascii="inherit" w:eastAsia="Times New Roman" w:hAnsi="inherit" w:cs="Times New Roman"/>
          <w:b/>
          <w:bCs/>
          <w:color w:val="5B5B5B"/>
          <w:sz w:val="28"/>
          <w:szCs w:val="28"/>
          <w:lang w:eastAsia="it-IT"/>
        </w:rPr>
        <w:t xml:space="preserve"> di Puglia e Basilicata</w:t>
      </w:r>
      <w:r w:rsidRPr="008D6E81">
        <w:rPr>
          <w:rFonts w:ascii="inherit" w:eastAsia="Times New Roman" w:hAnsi="inherit" w:cs="Times New Roman"/>
          <w:color w:val="5B5B5B"/>
          <w:sz w:val="28"/>
          <w:szCs w:val="28"/>
          <w:lang w:eastAsia="it-IT"/>
        </w:rPr>
        <w:t xml:space="preserve"> che ricorda che “questi sono i risultati dell’approvazione dei progetti artistici e dell’assegnazione dei contributi </w:t>
      </w:r>
      <w:proofErr w:type="spellStart"/>
      <w:r w:rsidRPr="008D6E81">
        <w:rPr>
          <w:rFonts w:ascii="inherit" w:eastAsia="Times New Roman" w:hAnsi="inherit" w:cs="Times New Roman"/>
          <w:color w:val="5B5B5B"/>
          <w:sz w:val="28"/>
          <w:szCs w:val="28"/>
          <w:lang w:eastAsia="it-IT"/>
        </w:rPr>
        <w:t>Fus</w:t>
      </w:r>
      <w:proofErr w:type="spellEnd"/>
      <w:r w:rsidRPr="008D6E81">
        <w:rPr>
          <w:rFonts w:ascii="inherit" w:eastAsia="Times New Roman" w:hAnsi="inherit" w:cs="Times New Roman"/>
          <w:color w:val="5B5B5B"/>
          <w:sz w:val="28"/>
          <w:szCs w:val="28"/>
          <w:lang w:eastAsia="it-IT"/>
        </w:rPr>
        <w:t xml:space="preserve"> (Fondo Unico per lo Spettacolo) per il triennio </w:t>
      </w:r>
      <w:r w:rsidRPr="008D6E81">
        <w:rPr>
          <w:rFonts w:ascii="inherit" w:eastAsia="Times New Roman" w:hAnsi="inherit" w:cs="Times New Roman"/>
          <w:color w:val="5B5B5B"/>
          <w:sz w:val="28"/>
          <w:szCs w:val="28"/>
          <w:lang w:eastAsia="it-IT"/>
        </w:rPr>
        <w:lastRenderedPageBreak/>
        <w:t>2015/2017 alle imprese di produzione teatrale con Decreto ministeriale dello scorso 22 luglio”.</w:t>
      </w:r>
    </w:p>
    <w:p w:rsidR="008D6E81" w:rsidRPr="008D6E81" w:rsidRDefault="008D6E81" w:rsidP="008D6E81">
      <w:pPr>
        <w:spacing w:after="0" w:line="240" w:lineRule="auto"/>
        <w:jc w:val="both"/>
        <w:rPr>
          <w:rFonts w:ascii="inherit" w:eastAsia="Times New Roman" w:hAnsi="inherit" w:cs="Times New Roman"/>
          <w:color w:val="5B5B5B"/>
          <w:sz w:val="28"/>
          <w:szCs w:val="28"/>
          <w:lang w:eastAsia="it-IT"/>
        </w:rPr>
      </w:pPr>
      <w:r w:rsidRPr="008D6E81">
        <w:rPr>
          <w:rFonts w:ascii="inherit" w:eastAsia="Times New Roman" w:hAnsi="inherit" w:cs="Times New Roman"/>
          <w:color w:val="5B5B5B"/>
          <w:sz w:val="28"/>
          <w:szCs w:val="28"/>
          <w:lang w:eastAsia="it-IT"/>
        </w:rPr>
        <w:t xml:space="preserve">Il Ministero dei Beni e delle Attività Culturali e del Turismo “non ha assegnato fondi – si legge ancora nella nota – a quattro Compagnie teatrali pugliesi consolidate che avevano rapporti storici con il dicastero: le Compagnie ‘Tiberio </w:t>
      </w:r>
      <w:proofErr w:type="spellStart"/>
      <w:r w:rsidRPr="008D6E81">
        <w:rPr>
          <w:rFonts w:ascii="inherit" w:eastAsia="Times New Roman" w:hAnsi="inherit" w:cs="Times New Roman"/>
          <w:color w:val="5B5B5B"/>
          <w:sz w:val="28"/>
          <w:szCs w:val="28"/>
          <w:lang w:eastAsia="it-IT"/>
        </w:rPr>
        <w:t>Fiorilli</w:t>
      </w:r>
      <w:proofErr w:type="spellEnd"/>
      <w:r w:rsidRPr="008D6E81">
        <w:rPr>
          <w:rFonts w:ascii="inherit" w:eastAsia="Times New Roman" w:hAnsi="inherit" w:cs="Times New Roman"/>
          <w:color w:val="5B5B5B"/>
          <w:sz w:val="28"/>
          <w:szCs w:val="28"/>
          <w:lang w:eastAsia="it-IT"/>
        </w:rPr>
        <w:t>’ (Bari), ‘Bottega degli Apocrifi’ (Manfredonia), ‘Astragali’ (Lecce) e ‘</w:t>
      </w:r>
      <w:proofErr w:type="spellStart"/>
      <w:r w:rsidRPr="008D6E81">
        <w:rPr>
          <w:rFonts w:ascii="inherit" w:eastAsia="Times New Roman" w:hAnsi="inherit" w:cs="Times New Roman"/>
          <w:color w:val="5B5B5B"/>
          <w:sz w:val="28"/>
          <w:szCs w:val="28"/>
          <w:lang w:eastAsia="it-IT"/>
        </w:rPr>
        <w:t>Terrammare</w:t>
      </w:r>
      <w:proofErr w:type="spellEnd"/>
      <w:r w:rsidRPr="008D6E81">
        <w:rPr>
          <w:rFonts w:ascii="inherit" w:eastAsia="Times New Roman" w:hAnsi="inherit" w:cs="Times New Roman"/>
          <w:color w:val="5B5B5B"/>
          <w:sz w:val="28"/>
          <w:szCs w:val="28"/>
          <w:lang w:eastAsia="it-IT"/>
        </w:rPr>
        <w:t xml:space="preserve"> (Nardò)”. Inoltre è stato negato l’accesso ai fondi – continua l’</w:t>
      </w:r>
      <w:proofErr w:type="spellStart"/>
      <w:r w:rsidRPr="008D6E81">
        <w:rPr>
          <w:rFonts w:ascii="inherit" w:eastAsia="Times New Roman" w:hAnsi="inherit" w:cs="Times New Roman"/>
          <w:color w:val="5B5B5B"/>
          <w:sz w:val="28"/>
          <w:szCs w:val="28"/>
          <w:lang w:eastAsia="it-IT"/>
        </w:rPr>
        <w:t>Agis</w:t>
      </w:r>
      <w:proofErr w:type="spellEnd"/>
      <w:r w:rsidRPr="008D6E81">
        <w:rPr>
          <w:rFonts w:ascii="inherit" w:eastAsia="Times New Roman" w:hAnsi="inherit" w:cs="Times New Roman"/>
          <w:color w:val="5B5B5B"/>
          <w:sz w:val="28"/>
          <w:szCs w:val="28"/>
          <w:lang w:eastAsia="it-IT"/>
        </w:rPr>
        <w:t xml:space="preserve"> – “anche ad altre quattro nuove compagnie che realizzano spettacoli sull’intero territorio pugliese: ‘</w:t>
      </w:r>
      <w:proofErr w:type="spellStart"/>
      <w:r w:rsidRPr="008D6E81">
        <w:rPr>
          <w:rFonts w:ascii="inherit" w:eastAsia="Times New Roman" w:hAnsi="inherit" w:cs="Times New Roman"/>
          <w:color w:val="5B5B5B"/>
          <w:sz w:val="28"/>
          <w:szCs w:val="28"/>
          <w:lang w:eastAsia="it-IT"/>
        </w:rPr>
        <w:t>Transadriatica</w:t>
      </w:r>
      <w:proofErr w:type="spellEnd"/>
      <w:r w:rsidRPr="008D6E81">
        <w:rPr>
          <w:rFonts w:ascii="inherit" w:eastAsia="Times New Roman" w:hAnsi="inherit" w:cs="Times New Roman"/>
          <w:color w:val="5B5B5B"/>
          <w:sz w:val="28"/>
          <w:szCs w:val="28"/>
          <w:lang w:eastAsia="it-IT"/>
        </w:rPr>
        <w:t>’ (Lecce), ‘</w:t>
      </w:r>
      <w:proofErr w:type="spellStart"/>
      <w:r w:rsidRPr="008D6E81">
        <w:rPr>
          <w:rFonts w:ascii="inherit" w:eastAsia="Times New Roman" w:hAnsi="inherit" w:cs="Times New Roman"/>
          <w:color w:val="5B5B5B"/>
          <w:sz w:val="28"/>
          <w:szCs w:val="28"/>
          <w:lang w:eastAsia="it-IT"/>
        </w:rPr>
        <w:t>Thalassia</w:t>
      </w:r>
      <w:proofErr w:type="spellEnd"/>
      <w:r w:rsidRPr="008D6E81">
        <w:rPr>
          <w:rFonts w:ascii="inherit" w:eastAsia="Times New Roman" w:hAnsi="inherit" w:cs="Times New Roman"/>
          <w:color w:val="5B5B5B"/>
          <w:sz w:val="28"/>
          <w:szCs w:val="28"/>
          <w:lang w:eastAsia="it-IT"/>
        </w:rPr>
        <w:t>’ (Brindisi), ‘Compagnia del sole’ (Bari), ‘Teatro delle forche’ (Massafra)”.</w:t>
      </w:r>
    </w:p>
    <w:p w:rsidR="008D6E81" w:rsidRPr="008D6E81" w:rsidRDefault="008D6E81" w:rsidP="008D6E81">
      <w:pPr>
        <w:spacing w:after="0" w:line="240" w:lineRule="auto"/>
        <w:jc w:val="both"/>
        <w:rPr>
          <w:rFonts w:ascii="inherit" w:eastAsia="Times New Roman" w:hAnsi="inherit" w:cs="Times New Roman"/>
          <w:color w:val="5B5B5B"/>
          <w:sz w:val="28"/>
          <w:szCs w:val="28"/>
          <w:lang w:eastAsia="it-IT"/>
        </w:rPr>
      </w:pPr>
      <w:r w:rsidRPr="008D6E81">
        <w:rPr>
          <w:rFonts w:ascii="inherit" w:eastAsia="Times New Roman" w:hAnsi="inherit" w:cs="Times New Roman"/>
          <w:color w:val="5B5B5B"/>
          <w:sz w:val="28"/>
          <w:szCs w:val="28"/>
          <w:lang w:eastAsia="it-IT"/>
        </w:rPr>
        <w:t>“Il Ministero – ha affermato </w:t>
      </w:r>
      <w:r w:rsidRPr="008D6E81">
        <w:rPr>
          <w:rFonts w:ascii="inherit" w:eastAsia="Times New Roman" w:hAnsi="inherit" w:cs="Times New Roman"/>
          <w:b/>
          <w:bCs/>
          <w:color w:val="5B5B5B"/>
          <w:sz w:val="28"/>
          <w:szCs w:val="28"/>
          <w:lang w:eastAsia="it-IT"/>
        </w:rPr>
        <w:t xml:space="preserve">Clara </w:t>
      </w:r>
      <w:proofErr w:type="spellStart"/>
      <w:r w:rsidRPr="008D6E81">
        <w:rPr>
          <w:rFonts w:ascii="inherit" w:eastAsia="Times New Roman" w:hAnsi="inherit" w:cs="Times New Roman"/>
          <w:b/>
          <w:bCs/>
          <w:color w:val="5B5B5B"/>
          <w:sz w:val="28"/>
          <w:szCs w:val="28"/>
          <w:lang w:eastAsia="it-IT"/>
        </w:rPr>
        <w:t>Cottino</w:t>
      </w:r>
      <w:proofErr w:type="spellEnd"/>
      <w:r w:rsidRPr="008D6E81">
        <w:rPr>
          <w:rFonts w:ascii="inherit" w:eastAsia="Times New Roman" w:hAnsi="inherit" w:cs="Times New Roman"/>
          <w:color w:val="5B5B5B"/>
          <w:sz w:val="28"/>
          <w:szCs w:val="28"/>
          <w:lang w:eastAsia="it-IT"/>
        </w:rPr>
        <w:t xml:space="preserve">, Presidente sezione spettacolo dal vivo </w:t>
      </w:r>
      <w:proofErr w:type="spellStart"/>
      <w:r w:rsidRPr="008D6E81">
        <w:rPr>
          <w:rFonts w:ascii="inherit" w:eastAsia="Times New Roman" w:hAnsi="inherit" w:cs="Times New Roman"/>
          <w:color w:val="5B5B5B"/>
          <w:sz w:val="28"/>
          <w:szCs w:val="28"/>
          <w:lang w:eastAsia="it-IT"/>
        </w:rPr>
        <w:t>Agis</w:t>
      </w:r>
      <w:proofErr w:type="spellEnd"/>
      <w:r w:rsidRPr="008D6E81">
        <w:rPr>
          <w:rFonts w:ascii="inherit" w:eastAsia="Times New Roman" w:hAnsi="inherit" w:cs="Times New Roman"/>
          <w:color w:val="5B5B5B"/>
          <w:sz w:val="28"/>
          <w:szCs w:val="28"/>
          <w:lang w:eastAsia="it-IT"/>
        </w:rPr>
        <w:t xml:space="preserve"> Puglia – non è riuscito a cogliere gli elementi di fermento che la Puglia ha espresso negli ultimi anni nell’ambito della cultura e del teatro. Il numero delle micro imprese culturali e dello spettacolo è cresciuto in un ribollire di idee e di iniziative, ma si tratta pur sempre di un mondo fragile e che necessita di cura e sostegno per sopravvivere, ancora prima di vivere”.</w:t>
      </w:r>
    </w:p>
    <w:p w:rsidR="008D6E81" w:rsidRPr="008D6E81" w:rsidRDefault="008D6E81" w:rsidP="008D6E81">
      <w:pPr>
        <w:spacing w:after="0" w:line="240" w:lineRule="auto"/>
        <w:jc w:val="both"/>
        <w:rPr>
          <w:rFonts w:ascii="inherit" w:eastAsia="Times New Roman" w:hAnsi="inherit" w:cs="Times New Roman"/>
          <w:color w:val="5B5B5B"/>
          <w:sz w:val="28"/>
          <w:szCs w:val="28"/>
          <w:lang w:eastAsia="it-IT"/>
        </w:rPr>
      </w:pPr>
      <w:r w:rsidRPr="008D6E81">
        <w:rPr>
          <w:rFonts w:ascii="inherit" w:eastAsia="Times New Roman" w:hAnsi="inherit" w:cs="Times New Roman"/>
          <w:color w:val="5B5B5B"/>
          <w:sz w:val="28"/>
          <w:szCs w:val="28"/>
          <w:lang w:eastAsia="it-IT"/>
        </w:rPr>
        <w:t>“L’</w:t>
      </w:r>
      <w:proofErr w:type="spellStart"/>
      <w:r w:rsidRPr="008D6E81">
        <w:rPr>
          <w:rFonts w:ascii="inherit" w:eastAsia="Times New Roman" w:hAnsi="inherit" w:cs="Times New Roman"/>
          <w:color w:val="5B5B5B"/>
          <w:sz w:val="28"/>
          <w:szCs w:val="28"/>
          <w:lang w:eastAsia="it-IT"/>
        </w:rPr>
        <w:t>Agis</w:t>
      </w:r>
      <w:proofErr w:type="spellEnd"/>
      <w:r w:rsidRPr="008D6E81">
        <w:rPr>
          <w:rFonts w:ascii="inherit" w:eastAsia="Times New Roman" w:hAnsi="inherit" w:cs="Times New Roman"/>
          <w:color w:val="5B5B5B"/>
          <w:sz w:val="28"/>
          <w:szCs w:val="28"/>
          <w:lang w:eastAsia="it-IT"/>
        </w:rPr>
        <w:t xml:space="preserve"> di Puglia e Basilicata d’intesa con gli operatori del settore ha deciso – conclude la nota – di procedere in tutte le sedi competenti per rivendicare, contro la decisione del ministero, una diversa attenzione nei confronti delle imprese teatrali anche in considerazione che vengono sguarnite alcune province proprio alla luce degli sforzi e degli investimenti effettuati negli ultimi anni”</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127B"/>
    <w:multiLevelType w:val="multilevel"/>
    <w:tmpl w:val="5FB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779D3"/>
    <w:multiLevelType w:val="multilevel"/>
    <w:tmpl w:val="DA96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509E7"/>
    <w:multiLevelType w:val="multilevel"/>
    <w:tmpl w:val="4B8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418B6"/>
    <w:multiLevelType w:val="multilevel"/>
    <w:tmpl w:val="4C9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F05C0"/>
    <w:multiLevelType w:val="multilevel"/>
    <w:tmpl w:val="9DD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D6E81"/>
    <w:rsid w:val="003B1966"/>
    <w:rsid w:val="008D6E81"/>
    <w:rsid w:val="009140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8D6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D6E8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6E8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8D6E81"/>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E8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D6E8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6E8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8D6E81"/>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8D6E81"/>
    <w:rPr>
      <w:color w:val="0000FF"/>
      <w:u w:val="single"/>
    </w:rPr>
  </w:style>
  <w:style w:type="character" w:customStyle="1" w:styleId="apple-converted-space">
    <w:name w:val="apple-converted-space"/>
    <w:basedOn w:val="Carpredefinitoparagrafo"/>
    <w:rsid w:val="008D6E81"/>
  </w:style>
  <w:style w:type="character" w:styleId="Enfasigrassetto">
    <w:name w:val="Strong"/>
    <w:basedOn w:val="Carpredefinitoparagrafo"/>
    <w:uiPriority w:val="22"/>
    <w:qFormat/>
    <w:rsid w:val="008D6E81"/>
    <w:rPr>
      <w:b/>
      <w:bCs/>
    </w:rPr>
  </w:style>
  <w:style w:type="character" w:customStyle="1" w:styleId="sharing-screen-reader-text">
    <w:name w:val="sharing-screen-reader-text"/>
    <w:basedOn w:val="Carpredefinitoparagrafo"/>
    <w:rsid w:val="008D6E81"/>
  </w:style>
  <w:style w:type="paragraph" w:styleId="NormaleWeb">
    <w:name w:val="Normal (Web)"/>
    <w:basedOn w:val="Normale"/>
    <w:uiPriority w:val="99"/>
    <w:semiHidden/>
    <w:unhideWhenUsed/>
    <w:rsid w:val="008D6E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D6E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6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765888">
      <w:bodyDiv w:val="1"/>
      <w:marLeft w:val="0"/>
      <w:marRight w:val="0"/>
      <w:marTop w:val="0"/>
      <w:marBottom w:val="0"/>
      <w:divBdr>
        <w:top w:val="none" w:sz="0" w:space="0" w:color="auto"/>
        <w:left w:val="none" w:sz="0" w:space="0" w:color="auto"/>
        <w:bottom w:val="none" w:sz="0" w:space="0" w:color="auto"/>
        <w:right w:val="none" w:sz="0" w:space="0" w:color="auto"/>
      </w:divBdr>
      <w:divsChild>
        <w:div w:id="1322151445">
          <w:marLeft w:val="0"/>
          <w:marRight w:val="0"/>
          <w:marTop w:val="0"/>
          <w:marBottom w:val="0"/>
          <w:divBdr>
            <w:top w:val="none" w:sz="0" w:space="0" w:color="auto"/>
            <w:left w:val="none" w:sz="0" w:space="0" w:color="auto"/>
            <w:bottom w:val="none" w:sz="0" w:space="0" w:color="auto"/>
            <w:right w:val="none" w:sz="0" w:space="0" w:color="auto"/>
          </w:divBdr>
        </w:div>
        <w:div w:id="1056785088">
          <w:marLeft w:val="0"/>
          <w:marRight w:val="0"/>
          <w:marTop w:val="0"/>
          <w:marBottom w:val="0"/>
          <w:divBdr>
            <w:top w:val="none" w:sz="0" w:space="0" w:color="auto"/>
            <w:left w:val="none" w:sz="0" w:space="0" w:color="auto"/>
            <w:bottom w:val="none" w:sz="0" w:space="0" w:color="auto"/>
            <w:right w:val="none" w:sz="0" w:space="0" w:color="auto"/>
          </w:divBdr>
          <w:divsChild>
            <w:div w:id="1107239533">
              <w:marLeft w:val="0"/>
              <w:marRight w:val="0"/>
              <w:marTop w:val="0"/>
              <w:marBottom w:val="0"/>
              <w:divBdr>
                <w:top w:val="none" w:sz="0" w:space="0" w:color="auto"/>
                <w:left w:val="none" w:sz="0" w:space="0" w:color="auto"/>
                <w:bottom w:val="none" w:sz="0" w:space="0" w:color="auto"/>
                <w:right w:val="none" w:sz="0" w:space="0" w:color="auto"/>
              </w:divBdr>
              <w:divsChild>
                <w:div w:id="17461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5311">
          <w:marLeft w:val="0"/>
          <w:marRight w:val="0"/>
          <w:marTop w:val="0"/>
          <w:marBottom w:val="0"/>
          <w:divBdr>
            <w:top w:val="none" w:sz="0" w:space="0" w:color="auto"/>
            <w:left w:val="none" w:sz="0" w:space="0" w:color="auto"/>
            <w:bottom w:val="none" w:sz="0" w:space="0" w:color="auto"/>
            <w:right w:val="none" w:sz="0" w:space="0" w:color="auto"/>
          </w:divBdr>
          <w:divsChild>
            <w:div w:id="886064790">
              <w:marLeft w:val="0"/>
              <w:marRight w:val="0"/>
              <w:marTop w:val="0"/>
              <w:marBottom w:val="0"/>
              <w:divBdr>
                <w:top w:val="none" w:sz="0" w:space="0" w:color="auto"/>
                <w:left w:val="none" w:sz="0" w:space="0" w:color="auto"/>
                <w:bottom w:val="none" w:sz="0" w:space="0" w:color="auto"/>
                <w:right w:val="none" w:sz="0" w:space="0" w:color="auto"/>
              </w:divBdr>
              <w:divsChild>
                <w:div w:id="567300356">
                  <w:marLeft w:val="0"/>
                  <w:marRight w:val="0"/>
                  <w:marTop w:val="376"/>
                  <w:marBottom w:val="250"/>
                  <w:divBdr>
                    <w:top w:val="none" w:sz="0" w:space="0" w:color="auto"/>
                    <w:left w:val="none" w:sz="0" w:space="0" w:color="auto"/>
                    <w:bottom w:val="none" w:sz="0" w:space="0" w:color="auto"/>
                    <w:right w:val="none" w:sz="0" w:space="0" w:color="auto"/>
                  </w:divBdr>
                </w:div>
              </w:divsChild>
            </w:div>
          </w:divsChild>
        </w:div>
        <w:div w:id="473447230">
          <w:marLeft w:val="0"/>
          <w:marRight w:val="0"/>
          <w:marTop w:val="0"/>
          <w:marBottom w:val="0"/>
          <w:divBdr>
            <w:top w:val="none" w:sz="0" w:space="0" w:color="auto"/>
            <w:left w:val="none" w:sz="0" w:space="0" w:color="auto"/>
            <w:bottom w:val="none" w:sz="0" w:space="0" w:color="auto"/>
            <w:right w:val="none" w:sz="0" w:space="0" w:color="auto"/>
          </w:divBdr>
          <w:divsChild>
            <w:div w:id="1535312310">
              <w:marLeft w:val="0"/>
              <w:marRight w:val="0"/>
              <w:marTop w:val="0"/>
              <w:marBottom w:val="0"/>
              <w:divBdr>
                <w:top w:val="none" w:sz="0" w:space="0" w:color="auto"/>
                <w:left w:val="none" w:sz="0" w:space="0" w:color="auto"/>
                <w:bottom w:val="none" w:sz="0" w:space="0" w:color="auto"/>
                <w:right w:val="none" w:sz="0" w:space="0" w:color="auto"/>
              </w:divBdr>
              <w:divsChild>
                <w:div w:id="818234123">
                  <w:marLeft w:val="0"/>
                  <w:marRight w:val="0"/>
                  <w:marTop w:val="0"/>
                  <w:marBottom w:val="0"/>
                  <w:divBdr>
                    <w:top w:val="none" w:sz="0" w:space="0" w:color="auto"/>
                    <w:left w:val="none" w:sz="0" w:space="0" w:color="auto"/>
                    <w:bottom w:val="none" w:sz="0" w:space="0" w:color="auto"/>
                    <w:right w:val="none" w:sz="0" w:space="0" w:color="auto"/>
                  </w:divBdr>
                </w:div>
                <w:div w:id="1215316192">
                  <w:marLeft w:val="0"/>
                  <w:marRight w:val="0"/>
                  <w:marTop w:val="0"/>
                  <w:marBottom w:val="0"/>
                  <w:divBdr>
                    <w:top w:val="none" w:sz="0" w:space="0" w:color="auto"/>
                    <w:left w:val="none" w:sz="0" w:space="0" w:color="auto"/>
                    <w:bottom w:val="none" w:sz="0" w:space="0" w:color="auto"/>
                    <w:right w:val="none" w:sz="0" w:space="0" w:color="auto"/>
                  </w:divBdr>
                  <w:divsChild>
                    <w:div w:id="906452717">
                      <w:marLeft w:val="0"/>
                      <w:marRight w:val="0"/>
                      <w:marTop w:val="0"/>
                      <w:marBottom w:val="0"/>
                      <w:divBdr>
                        <w:top w:val="none" w:sz="0" w:space="0" w:color="auto"/>
                        <w:left w:val="none" w:sz="0" w:space="0" w:color="auto"/>
                        <w:bottom w:val="none" w:sz="0" w:space="0" w:color="auto"/>
                        <w:right w:val="none" w:sz="0" w:space="0" w:color="auto"/>
                      </w:divBdr>
                      <w:divsChild>
                        <w:div w:id="1862427991">
                          <w:marLeft w:val="0"/>
                          <w:marRight w:val="0"/>
                          <w:marTop w:val="0"/>
                          <w:marBottom w:val="125"/>
                          <w:divBdr>
                            <w:top w:val="none" w:sz="0" w:space="0" w:color="auto"/>
                            <w:left w:val="none" w:sz="0" w:space="0" w:color="auto"/>
                            <w:bottom w:val="none" w:sz="0" w:space="0" w:color="auto"/>
                            <w:right w:val="none" w:sz="0" w:space="0" w:color="auto"/>
                          </w:divBdr>
                        </w:div>
                        <w:div w:id="666398031">
                          <w:marLeft w:val="0"/>
                          <w:marRight w:val="0"/>
                          <w:marTop w:val="0"/>
                          <w:marBottom w:val="0"/>
                          <w:divBdr>
                            <w:top w:val="none" w:sz="0" w:space="0" w:color="auto"/>
                            <w:left w:val="none" w:sz="0" w:space="0" w:color="auto"/>
                            <w:bottom w:val="none" w:sz="0" w:space="0" w:color="auto"/>
                            <w:right w:val="none" w:sz="0" w:space="0" w:color="auto"/>
                          </w:divBdr>
                          <w:divsChild>
                            <w:div w:id="1899971149">
                              <w:marLeft w:val="0"/>
                              <w:marRight w:val="0"/>
                              <w:marTop w:val="0"/>
                              <w:marBottom w:val="0"/>
                              <w:divBdr>
                                <w:top w:val="none" w:sz="0" w:space="0" w:color="auto"/>
                                <w:left w:val="none" w:sz="0" w:space="0" w:color="auto"/>
                                <w:bottom w:val="none" w:sz="0" w:space="0" w:color="auto"/>
                                <w:right w:val="none" w:sz="0" w:space="0" w:color="auto"/>
                              </w:divBdr>
                            </w:div>
                          </w:divsChild>
                        </w:div>
                        <w:div w:id="58499992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gliain.net/author/redazione/" TargetMode="External"/><Relationship Id="rId3" Type="http://schemas.openxmlformats.org/officeDocument/2006/relationships/settings" Target="settings.xml"/><Relationship Id="rId7" Type="http://schemas.openxmlformats.org/officeDocument/2006/relationships/hyperlink" Target="http://www.pugliain.net/categoria/economia-svilup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ugliai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2015-08-07T17:43:00Z</dcterms:created>
  <dcterms:modified xsi:type="dcterms:W3CDTF">2015-08-07T17:45:00Z</dcterms:modified>
</cp:coreProperties>
</file>